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</w:t>
            </w:r>
            <w:r w:rsidRPr="00A1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D7A50" w:rsidRPr="00A1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0807" w:rsidRPr="00DF0807">
              <w:rPr>
                <w:rFonts w:ascii="Times New Roman" w:hAnsi="Times New Roman" w:cs="Times New Roman"/>
              </w:rPr>
              <w:t>Studies</w:t>
            </w:r>
            <w:proofErr w:type="spellEnd"/>
            <w:r w:rsidR="00DF0807" w:rsidRPr="00DF080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DF0807" w:rsidRPr="00DF0807">
              <w:rPr>
                <w:rFonts w:ascii="Times New Roman" w:hAnsi="Times New Roman" w:cs="Times New Roman"/>
              </w:rPr>
              <w:t>Clinical</w:t>
            </w:r>
            <w:proofErr w:type="spellEnd"/>
            <w:r w:rsidR="00DF0807" w:rsidRPr="00DF0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0807" w:rsidRPr="00DF0807">
              <w:rPr>
                <w:rFonts w:ascii="Times New Roman" w:hAnsi="Times New Roman" w:cs="Times New Roman"/>
              </w:rPr>
              <w:t>Psychology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16773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DF0807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PSYC4606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B4408" w:rsidRDefault="00CB4408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Pr="00CB4408">
        <w:rPr>
          <w:rFonts w:ascii="Times New Roman" w:eastAsia="Arial Unicode MS" w:hAnsi="Times New Roman" w:cs="Times New Roman"/>
          <w:bdr w:val="nil"/>
          <w:lang w:val="en-US"/>
        </w:rPr>
        <w:t>Teaching the theoretical background of psychotherapy techniques and the use of these techniques in the session room.</w:t>
      </w:r>
    </w:p>
    <w:p w:rsidR="00C477E3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Observation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certain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cases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clinical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settings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along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with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clinical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health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forensic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Review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recently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published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design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implementation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evaluation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of a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clinical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project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Comparison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grounded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theory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interpretative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phenomenological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analysis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text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interpretation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thematic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coding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Use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preconceived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categories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analysis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with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a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focus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individual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case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without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reference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a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comparison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group</w:t>
      </w:r>
      <w:proofErr w:type="spellEnd"/>
      <w:r w:rsidR="00CB4408" w:rsidRPr="00CB4408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Style w:val="TableNormal"/>
        <w:tblW w:w="72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0"/>
        <w:gridCol w:w="1809"/>
        <w:gridCol w:w="1809"/>
        <w:gridCol w:w="1809"/>
      </w:tblGrid>
      <w:tr w:rsidR="00CB4408" w:rsidRPr="004B6220" w:rsidTr="000B56EC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08" w:rsidRPr="004B6220" w:rsidRDefault="00CB440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08" w:rsidRPr="004B6220" w:rsidRDefault="00CB440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Role-</w:t>
            </w:r>
            <w:proofErr w:type="spellStart"/>
            <w:r>
              <w:rPr>
                <w:rFonts w:ascii="Times" w:hAnsi="Time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play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08" w:rsidRPr="004B6220" w:rsidRDefault="00CB440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08" w:rsidRPr="004B6220" w:rsidRDefault="00CB440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</w:t>
            </w:r>
          </w:p>
        </w:tc>
      </w:tr>
      <w:tr w:rsidR="00CB4408" w:rsidRPr="004B6220" w:rsidTr="000B56EC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08" w:rsidRPr="004B6220" w:rsidRDefault="00CB440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%35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08" w:rsidRPr="004B6220" w:rsidRDefault="00CB440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%25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08" w:rsidRPr="004B6220" w:rsidRDefault="00CB440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08" w:rsidRPr="004B6220" w:rsidRDefault="00CB440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CB4408" w:rsidRPr="004B6220" w:rsidRDefault="00CB4408" w:rsidP="00CB4408">
      <w:pPr>
        <w:pStyle w:val="Gvde"/>
        <w:rPr>
          <w:rFonts w:ascii="Times" w:hAnsi="Times"/>
          <w:sz w:val="22"/>
          <w:szCs w:val="22"/>
        </w:rPr>
      </w:pPr>
      <w:proofErr w:type="spellStart"/>
      <w:r w:rsidRPr="004B6220">
        <w:rPr>
          <w:rFonts w:ascii="Times" w:hAnsi="Times"/>
          <w:sz w:val="22"/>
          <w:szCs w:val="22"/>
        </w:rPr>
        <w:t>Norcross</w:t>
      </w:r>
      <w:proofErr w:type="spellEnd"/>
      <w:r w:rsidRPr="004B6220">
        <w:rPr>
          <w:rFonts w:ascii="Times" w:hAnsi="Times"/>
          <w:sz w:val="22"/>
          <w:szCs w:val="22"/>
        </w:rPr>
        <w:t>, J. C</w:t>
      </w:r>
      <w:proofErr w:type="gramStart"/>
      <w:r w:rsidRPr="004B6220">
        <w:rPr>
          <w:rFonts w:ascii="Times" w:hAnsi="Times"/>
          <w:sz w:val="22"/>
          <w:szCs w:val="22"/>
        </w:rPr>
        <w:t>.,</w:t>
      </w:r>
      <w:proofErr w:type="gramEnd"/>
      <w:r w:rsidRPr="004B6220">
        <w:rPr>
          <w:rFonts w:ascii="Times" w:hAnsi="Times"/>
          <w:sz w:val="22"/>
          <w:szCs w:val="22"/>
        </w:rPr>
        <w:t xml:space="preserve"> </w:t>
      </w:r>
      <w:proofErr w:type="spellStart"/>
      <w:r w:rsidRPr="004B6220">
        <w:rPr>
          <w:rFonts w:ascii="Times" w:hAnsi="Times"/>
          <w:sz w:val="22"/>
          <w:szCs w:val="22"/>
        </w:rPr>
        <w:t>VandenBos</w:t>
      </w:r>
      <w:proofErr w:type="spellEnd"/>
      <w:r w:rsidRPr="004B6220">
        <w:rPr>
          <w:rFonts w:ascii="Times" w:hAnsi="Times"/>
          <w:sz w:val="22"/>
          <w:szCs w:val="22"/>
        </w:rPr>
        <w:t xml:space="preserve">, G. R., &amp; </w:t>
      </w:r>
      <w:proofErr w:type="spellStart"/>
      <w:r w:rsidRPr="004B6220">
        <w:rPr>
          <w:rFonts w:ascii="Times" w:hAnsi="Times"/>
          <w:sz w:val="22"/>
          <w:szCs w:val="22"/>
        </w:rPr>
        <w:t>Freedheim</w:t>
      </w:r>
      <w:proofErr w:type="spellEnd"/>
      <w:r w:rsidRPr="004B6220">
        <w:rPr>
          <w:rFonts w:ascii="Times" w:hAnsi="Times"/>
          <w:sz w:val="22"/>
          <w:szCs w:val="22"/>
        </w:rPr>
        <w:t xml:space="preserve">, D. K. (2011). </w:t>
      </w:r>
      <w:proofErr w:type="spellStart"/>
      <w:r w:rsidRPr="004B6220">
        <w:rPr>
          <w:rFonts w:ascii="Times" w:hAnsi="Times"/>
          <w:sz w:val="22"/>
          <w:szCs w:val="22"/>
        </w:rPr>
        <w:t>History</w:t>
      </w:r>
      <w:proofErr w:type="spellEnd"/>
      <w:r w:rsidRPr="004B6220">
        <w:rPr>
          <w:rFonts w:ascii="Times" w:hAnsi="Times"/>
          <w:sz w:val="22"/>
          <w:szCs w:val="22"/>
        </w:rPr>
        <w:t xml:space="preserve"> of </w:t>
      </w:r>
      <w:proofErr w:type="spellStart"/>
      <w:r w:rsidRPr="004B6220">
        <w:rPr>
          <w:rFonts w:ascii="Times" w:hAnsi="Times"/>
          <w:sz w:val="22"/>
          <w:szCs w:val="22"/>
        </w:rPr>
        <w:t>psychotherapy</w:t>
      </w:r>
      <w:proofErr w:type="spellEnd"/>
      <w:r w:rsidRPr="004B6220">
        <w:rPr>
          <w:rFonts w:ascii="Times" w:hAnsi="Times"/>
          <w:sz w:val="22"/>
          <w:szCs w:val="22"/>
        </w:rPr>
        <w:t xml:space="preserve">: </w:t>
      </w:r>
      <w:proofErr w:type="spellStart"/>
      <w:r w:rsidRPr="004B6220">
        <w:rPr>
          <w:rFonts w:ascii="Times" w:hAnsi="Times"/>
          <w:sz w:val="22"/>
          <w:szCs w:val="22"/>
        </w:rPr>
        <w:t>Continuity</w:t>
      </w:r>
      <w:proofErr w:type="spellEnd"/>
      <w:r w:rsidRPr="004B6220">
        <w:rPr>
          <w:rFonts w:ascii="Times" w:hAnsi="Times"/>
          <w:sz w:val="22"/>
          <w:szCs w:val="22"/>
        </w:rPr>
        <w:t xml:space="preserve"> </w:t>
      </w:r>
      <w:proofErr w:type="spellStart"/>
      <w:r w:rsidRPr="004B6220">
        <w:rPr>
          <w:rFonts w:ascii="Times" w:hAnsi="Times"/>
          <w:sz w:val="22"/>
          <w:szCs w:val="22"/>
        </w:rPr>
        <w:t>and</w:t>
      </w:r>
      <w:proofErr w:type="spellEnd"/>
      <w:r w:rsidRPr="004B6220">
        <w:rPr>
          <w:rFonts w:ascii="Times" w:hAnsi="Times"/>
          <w:sz w:val="22"/>
          <w:szCs w:val="22"/>
        </w:rPr>
        <w:t xml:space="preserve"> </w:t>
      </w:r>
      <w:proofErr w:type="spellStart"/>
      <w:r w:rsidRPr="004B6220">
        <w:rPr>
          <w:rFonts w:ascii="Times" w:hAnsi="Times"/>
          <w:sz w:val="22"/>
          <w:szCs w:val="22"/>
        </w:rPr>
        <w:t>change</w:t>
      </w:r>
      <w:proofErr w:type="spellEnd"/>
      <w:r w:rsidRPr="004B6220">
        <w:rPr>
          <w:rFonts w:ascii="Times" w:hAnsi="Times"/>
          <w:sz w:val="22"/>
          <w:szCs w:val="22"/>
        </w:rPr>
        <w:t xml:space="preserve">. </w:t>
      </w:r>
      <w:proofErr w:type="spellStart"/>
      <w:r w:rsidRPr="004B6220">
        <w:rPr>
          <w:rFonts w:ascii="Times" w:hAnsi="Times"/>
          <w:sz w:val="22"/>
          <w:szCs w:val="22"/>
        </w:rPr>
        <w:t>American</w:t>
      </w:r>
      <w:proofErr w:type="spellEnd"/>
      <w:r w:rsidRPr="004B6220">
        <w:rPr>
          <w:rFonts w:ascii="Times" w:hAnsi="Times"/>
          <w:sz w:val="22"/>
          <w:szCs w:val="22"/>
        </w:rPr>
        <w:t xml:space="preserve"> </w:t>
      </w:r>
      <w:proofErr w:type="spellStart"/>
      <w:r w:rsidRPr="004B6220">
        <w:rPr>
          <w:rFonts w:ascii="Times" w:hAnsi="Times"/>
          <w:sz w:val="22"/>
          <w:szCs w:val="22"/>
        </w:rPr>
        <w:t>Psychological</w:t>
      </w:r>
      <w:proofErr w:type="spellEnd"/>
      <w:r w:rsidRPr="004B6220">
        <w:rPr>
          <w:rFonts w:ascii="Times" w:hAnsi="Times"/>
          <w:sz w:val="22"/>
          <w:szCs w:val="22"/>
        </w:rPr>
        <w:t xml:space="preserve"> </w:t>
      </w:r>
      <w:proofErr w:type="spellStart"/>
      <w:r w:rsidRPr="004B6220">
        <w:rPr>
          <w:rFonts w:ascii="Times" w:hAnsi="Times"/>
          <w:sz w:val="22"/>
          <w:szCs w:val="22"/>
        </w:rPr>
        <w:t>Association</w:t>
      </w:r>
      <w:proofErr w:type="spellEnd"/>
      <w:r w:rsidRPr="004B6220">
        <w:rPr>
          <w:rFonts w:ascii="Times" w:hAnsi="Times"/>
          <w:sz w:val="22"/>
          <w:szCs w:val="22"/>
        </w:rPr>
        <w:t xml:space="preserve">. </w:t>
      </w:r>
    </w:p>
    <w:p w:rsidR="004D7B8A" w:rsidRPr="004B6220" w:rsidRDefault="004D7B8A" w:rsidP="004D7B8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" w:hAnsi="Times"/>
          <w:color w:val="000000"/>
          <w:sz w:val="22"/>
          <w:szCs w:val="22"/>
          <w:lang w:val="tr-TR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CB4408" w:rsidRPr="005926C5" w:rsidRDefault="00CB4408" w:rsidP="00CB4408">
            <w:proofErr w:type="spellStart"/>
            <w:r w:rsidRPr="005926C5">
              <w:t>Introduction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to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Psychotherapy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and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Therapy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Techniques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CB4408" w:rsidRPr="005926C5" w:rsidRDefault="00CB4408" w:rsidP="00CB4408">
            <w:proofErr w:type="spellStart"/>
            <w:r w:rsidRPr="005926C5">
              <w:t>Psychoanalysis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CB4408" w:rsidRPr="005926C5" w:rsidRDefault="00CB4408" w:rsidP="00CB4408">
            <w:proofErr w:type="spellStart"/>
            <w:r w:rsidRPr="005926C5">
              <w:t>Psychoanalysis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CB4408" w:rsidRPr="005926C5" w:rsidRDefault="00CB4408" w:rsidP="00CB4408">
            <w:proofErr w:type="spellStart"/>
            <w:r w:rsidRPr="005926C5">
              <w:t>Neoanalytic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Approach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CB4408" w:rsidRPr="005926C5" w:rsidRDefault="00CB4408" w:rsidP="00CB4408">
            <w:proofErr w:type="spellStart"/>
            <w:r w:rsidRPr="005926C5">
              <w:t>Neoanalytic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Approach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CB4408" w:rsidRPr="005926C5" w:rsidRDefault="00CB4408" w:rsidP="00CB4408">
            <w:proofErr w:type="spellStart"/>
            <w:r w:rsidRPr="005926C5">
              <w:t>Existential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Therapy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CB4408" w:rsidRPr="005926C5" w:rsidRDefault="00CB4408" w:rsidP="00CB4408">
            <w:proofErr w:type="spellStart"/>
            <w:r w:rsidRPr="005926C5">
              <w:t>Existential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Therapy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CB4408" w:rsidRPr="005926C5" w:rsidRDefault="00CB4408" w:rsidP="00CB4408">
            <w:proofErr w:type="spellStart"/>
            <w:r w:rsidRPr="005926C5">
              <w:t>Gestalt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Therapy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9.</w:t>
            </w:r>
          </w:p>
        </w:tc>
        <w:tc>
          <w:tcPr>
            <w:tcW w:w="7570" w:type="dxa"/>
          </w:tcPr>
          <w:p w:rsidR="00CB4408" w:rsidRPr="005926C5" w:rsidRDefault="00CB4408" w:rsidP="00CB4408">
            <w:proofErr w:type="spellStart"/>
            <w:r w:rsidRPr="005926C5">
              <w:t>Gestalt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Therapy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CB4408" w:rsidRPr="005926C5" w:rsidRDefault="00CB4408" w:rsidP="00CB4408">
            <w:proofErr w:type="spellStart"/>
            <w:r w:rsidRPr="005926C5">
              <w:t>Cognitive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Therapy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and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Behavioral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Therapy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CB4408" w:rsidRPr="005926C5" w:rsidRDefault="00CB4408" w:rsidP="00CB4408">
            <w:proofErr w:type="spellStart"/>
            <w:r w:rsidRPr="005926C5">
              <w:t>Cognitive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Therapy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and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Behavioral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Therapy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CB4408" w:rsidRPr="005926C5" w:rsidRDefault="00CB4408" w:rsidP="00CB4408">
            <w:proofErr w:type="spellStart"/>
            <w:r w:rsidRPr="005926C5">
              <w:t>Cognitive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Therapy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and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Behavioral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Therapy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CB4408" w:rsidRPr="005926C5" w:rsidRDefault="00CB4408" w:rsidP="00CB4408">
            <w:proofErr w:type="spellStart"/>
            <w:r w:rsidRPr="005926C5">
              <w:t>Schema</w:t>
            </w:r>
            <w:proofErr w:type="spellEnd"/>
            <w:r w:rsidRPr="005926C5">
              <w:t xml:space="preserve"> </w:t>
            </w:r>
            <w:proofErr w:type="spellStart"/>
            <w:r w:rsidRPr="005926C5">
              <w:t>Therapy</w:t>
            </w:r>
            <w:proofErr w:type="spellEnd"/>
          </w:p>
        </w:tc>
      </w:tr>
      <w:tr w:rsidR="00CB4408" w:rsidRPr="002522F3" w:rsidTr="00C0041F">
        <w:trPr>
          <w:trHeight w:val="412"/>
        </w:trPr>
        <w:tc>
          <w:tcPr>
            <w:tcW w:w="948" w:type="dxa"/>
          </w:tcPr>
          <w:p w:rsidR="00CB4408" w:rsidRPr="002522F3" w:rsidRDefault="00CB4408" w:rsidP="00CB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CB4408" w:rsidRDefault="00CB4408" w:rsidP="00CB4408">
            <w:proofErr w:type="spellStart"/>
            <w:r w:rsidRPr="005926C5">
              <w:t>Discussion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C477E3" w:rsidRDefault="00CB4408" w:rsidP="00CB4408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B4408">
        <w:rPr>
          <w:rFonts w:ascii="Times New Roman" w:eastAsia="Arial Unicode MS" w:hAnsi="Times New Roman" w:cs="Times New Roman"/>
          <w:color w:val="000000"/>
          <w:bdr w:val="nil"/>
          <w:lang w:val="en-US"/>
        </w:rPr>
        <w:t>Using of basic information about depressive and anxiety disorders</w:t>
      </w:r>
    </w:p>
    <w:p w:rsidR="00CB4408" w:rsidRDefault="00CB4408" w:rsidP="00CB4408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B4408">
        <w:rPr>
          <w:rFonts w:ascii="Times New Roman" w:eastAsia="Arial Unicode MS" w:hAnsi="Times New Roman" w:cs="Times New Roman"/>
          <w:color w:val="000000"/>
          <w:bdr w:val="nil"/>
          <w:lang w:val="en-US"/>
        </w:rPr>
        <w:t>Examine the brief overview on psychotic, bipolar and related disorders in order to be able to formulate differential diagnosis</w:t>
      </w:r>
    </w:p>
    <w:p w:rsidR="00CB4408" w:rsidRDefault="00CB4408" w:rsidP="00CB4408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B4408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Discussion of central features and principles of cognitive-behavior theory and of evidence-based mode of practice more generally</w:t>
      </w:r>
    </w:p>
    <w:p w:rsidR="00CB4408" w:rsidRDefault="00CB4408" w:rsidP="00CB4408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B4408">
        <w:rPr>
          <w:rFonts w:ascii="Times New Roman" w:eastAsia="Arial Unicode MS" w:hAnsi="Times New Roman" w:cs="Times New Roman"/>
          <w:color w:val="000000"/>
          <w:bdr w:val="nil"/>
          <w:lang w:val="en-US"/>
        </w:rPr>
        <w:t>Explain the basics of case formulation in cognitive-behavioral therapy</w:t>
      </w:r>
    </w:p>
    <w:p w:rsidR="00CB4408" w:rsidRDefault="00CB4408" w:rsidP="00CB4408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B4408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the methods for assessing and conceptualizing patients using this approach</w:t>
      </w:r>
    </w:p>
    <w:p w:rsidR="00CB4408" w:rsidRPr="00D02693" w:rsidRDefault="00CB4408" w:rsidP="00CB4408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76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CB4408" w:rsidRPr="002522F3" w:rsidTr="00CB4408">
        <w:trPr>
          <w:trHeight w:val="412"/>
        </w:trPr>
        <w:tc>
          <w:tcPr>
            <w:tcW w:w="534" w:type="dxa"/>
          </w:tcPr>
          <w:p w:rsidR="00CB4408" w:rsidRPr="002522F3" w:rsidRDefault="00CB440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CB4408" w:rsidRDefault="00CB4408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CB4408" w:rsidRPr="002522F3" w:rsidRDefault="00CB440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B4408" w:rsidRPr="002522F3" w:rsidRDefault="00CB440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CB4408" w:rsidRPr="002522F3" w:rsidRDefault="00CB440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CB4408" w:rsidRPr="002522F3" w:rsidRDefault="00CB440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CB4408" w:rsidRPr="002522F3" w:rsidRDefault="00CB440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709" w:type="dxa"/>
          </w:tcPr>
          <w:p w:rsidR="00CB4408" w:rsidRDefault="00CB440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CO5</w:t>
            </w:r>
          </w:p>
        </w:tc>
      </w:tr>
      <w:tr w:rsidR="00CB4408" w:rsidRPr="002522F3" w:rsidTr="00CB4408">
        <w:trPr>
          <w:trHeight w:val="412"/>
        </w:trPr>
        <w:tc>
          <w:tcPr>
            <w:tcW w:w="534" w:type="dxa"/>
          </w:tcPr>
          <w:p w:rsidR="00CB4408" w:rsidRPr="002522F3" w:rsidRDefault="00CB4408" w:rsidP="00CB440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CB4408" w:rsidRPr="009B4219" w:rsidRDefault="00CB4408" w:rsidP="00CB440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CB4408" w:rsidRPr="002522F3" w:rsidTr="00CB4408">
        <w:trPr>
          <w:trHeight w:val="412"/>
        </w:trPr>
        <w:tc>
          <w:tcPr>
            <w:tcW w:w="534" w:type="dxa"/>
          </w:tcPr>
          <w:p w:rsidR="00CB4408" w:rsidRPr="002522F3" w:rsidRDefault="00CB4408" w:rsidP="00CB440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CB4408" w:rsidRPr="009B4219" w:rsidRDefault="00CB4408" w:rsidP="00CB440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CB4408" w:rsidRPr="002522F3" w:rsidTr="00CB4408">
        <w:trPr>
          <w:trHeight w:val="412"/>
        </w:trPr>
        <w:tc>
          <w:tcPr>
            <w:tcW w:w="534" w:type="dxa"/>
          </w:tcPr>
          <w:p w:rsidR="00CB4408" w:rsidRPr="002522F3" w:rsidRDefault="00CB4408" w:rsidP="00CB440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CB4408" w:rsidRPr="009B4219" w:rsidRDefault="00CB4408" w:rsidP="00CB4408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4408" w:rsidRPr="002522F3" w:rsidTr="00CB4408">
        <w:trPr>
          <w:trHeight w:val="412"/>
        </w:trPr>
        <w:tc>
          <w:tcPr>
            <w:tcW w:w="534" w:type="dxa"/>
          </w:tcPr>
          <w:p w:rsidR="00CB4408" w:rsidRPr="002522F3" w:rsidRDefault="00CB4408" w:rsidP="00CB440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CB4408" w:rsidRPr="009B4219" w:rsidRDefault="00CB4408" w:rsidP="00CB4408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4408" w:rsidRPr="002522F3" w:rsidTr="00CB4408">
        <w:trPr>
          <w:trHeight w:val="412"/>
        </w:trPr>
        <w:tc>
          <w:tcPr>
            <w:tcW w:w="534" w:type="dxa"/>
          </w:tcPr>
          <w:p w:rsidR="00CB4408" w:rsidRPr="002522F3" w:rsidRDefault="00CB4408" w:rsidP="00CB440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CB4408" w:rsidRPr="009B4219" w:rsidRDefault="00CB4408" w:rsidP="00CB440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CB4408" w:rsidRPr="002522F3" w:rsidTr="00CB4408">
        <w:trPr>
          <w:trHeight w:val="412"/>
        </w:trPr>
        <w:tc>
          <w:tcPr>
            <w:tcW w:w="534" w:type="dxa"/>
          </w:tcPr>
          <w:p w:rsidR="00CB4408" w:rsidRPr="002522F3" w:rsidRDefault="00CB4408" w:rsidP="00CB440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CB4408" w:rsidRPr="009B4219" w:rsidRDefault="00CB4408" w:rsidP="00CB4408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4408" w:rsidRPr="002522F3" w:rsidTr="00CB4408">
        <w:trPr>
          <w:trHeight w:val="412"/>
        </w:trPr>
        <w:tc>
          <w:tcPr>
            <w:tcW w:w="534" w:type="dxa"/>
          </w:tcPr>
          <w:p w:rsidR="00CB4408" w:rsidRPr="002522F3" w:rsidRDefault="00CB4408" w:rsidP="00CB440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CB4408" w:rsidRPr="009B4219" w:rsidRDefault="00CB4408" w:rsidP="00CB440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4408" w:rsidRPr="002522F3" w:rsidTr="00CB4408">
        <w:trPr>
          <w:trHeight w:val="412"/>
        </w:trPr>
        <w:tc>
          <w:tcPr>
            <w:tcW w:w="534" w:type="dxa"/>
          </w:tcPr>
          <w:p w:rsidR="00CB4408" w:rsidRPr="002522F3" w:rsidRDefault="00CB4408" w:rsidP="00CB440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CB4408" w:rsidRPr="009B4219" w:rsidRDefault="00CB4408" w:rsidP="00CB440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4408" w:rsidRPr="002522F3" w:rsidTr="00CB4408">
        <w:trPr>
          <w:trHeight w:val="412"/>
        </w:trPr>
        <w:tc>
          <w:tcPr>
            <w:tcW w:w="534" w:type="dxa"/>
          </w:tcPr>
          <w:p w:rsidR="00CB4408" w:rsidRPr="002522F3" w:rsidRDefault="00CB4408" w:rsidP="00CB440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CB4408" w:rsidRPr="009B4219" w:rsidRDefault="00CB4408" w:rsidP="00CB440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4408" w:rsidRPr="002522F3" w:rsidTr="00CB4408">
        <w:trPr>
          <w:trHeight w:val="412"/>
        </w:trPr>
        <w:tc>
          <w:tcPr>
            <w:tcW w:w="534" w:type="dxa"/>
          </w:tcPr>
          <w:p w:rsidR="00CB4408" w:rsidRPr="002522F3" w:rsidRDefault="00CB4408" w:rsidP="00CB440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CB4408" w:rsidRPr="009B4219" w:rsidRDefault="00CB4408" w:rsidP="00CB4408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4408" w:rsidRPr="002522F3" w:rsidTr="00CB4408">
        <w:trPr>
          <w:trHeight w:val="412"/>
        </w:trPr>
        <w:tc>
          <w:tcPr>
            <w:tcW w:w="534" w:type="dxa"/>
          </w:tcPr>
          <w:p w:rsidR="00CB4408" w:rsidRPr="002522F3" w:rsidRDefault="00CB4408" w:rsidP="00CB440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lastRenderedPageBreak/>
              <w:t>11.</w:t>
            </w:r>
          </w:p>
        </w:tc>
        <w:tc>
          <w:tcPr>
            <w:tcW w:w="4819" w:type="dxa"/>
          </w:tcPr>
          <w:p w:rsidR="00CB4408" w:rsidRPr="009B4219" w:rsidRDefault="00CB4408" w:rsidP="00CB440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B4408" w:rsidRPr="002522F3" w:rsidTr="00CB4408">
        <w:trPr>
          <w:trHeight w:val="412"/>
        </w:trPr>
        <w:tc>
          <w:tcPr>
            <w:tcW w:w="534" w:type="dxa"/>
          </w:tcPr>
          <w:p w:rsidR="00CB4408" w:rsidRPr="002522F3" w:rsidRDefault="00CB4408" w:rsidP="00CB440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CB4408" w:rsidRDefault="00CB4408" w:rsidP="00CB4408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B4408" w:rsidRPr="004B6220" w:rsidRDefault="00CB4408" w:rsidP="00CB440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C167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Pr="00FF5B72" w:rsidRDefault="00CB4408" w:rsidP="00CB4408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CB4408" w:rsidRPr="002522F3" w:rsidTr="00BB7C4F">
        <w:trPr>
          <w:trHeight w:val="289"/>
        </w:trPr>
        <w:tc>
          <w:tcPr>
            <w:tcW w:w="1773" w:type="dxa"/>
          </w:tcPr>
          <w:p w:rsidR="00CB4408" w:rsidRPr="00FF5B72" w:rsidRDefault="00CB4408" w:rsidP="00CB4408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Pr="00FF5B72" w:rsidRDefault="00CB4408" w:rsidP="00CB4408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Pr="00FF5B72" w:rsidRDefault="00CB4408" w:rsidP="00CB4408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Pr="00FF5B72" w:rsidRDefault="00CB4408" w:rsidP="00CB4408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Pr="00FF5B72" w:rsidRDefault="00CB4408" w:rsidP="00CB4408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Pr="00FF5B72" w:rsidRDefault="00CB4408" w:rsidP="00CB4408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4408" w:rsidRPr="002522F3" w:rsidTr="00BB7C4F">
        <w:trPr>
          <w:trHeight w:val="289"/>
        </w:trPr>
        <w:tc>
          <w:tcPr>
            <w:tcW w:w="1773" w:type="dxa"/>
          </w:tcPr>
          <w:p w:rsidR="00CB4408" w:rsidRPr="00FF5B72" w:rsidRDefault="00CB4408" w:rsidP="00CB4408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Pr="00FF5B72" w:rsidRDefault="00CB4408" w:rsidP="00CB4408">
            <w:r w:rsidRPr="00FF5B72">
              <w:t>Presentation</w:t>
            </w:r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Pr="00FF5B72" w:rsidRDefault="00CB4408" w:rsidP="00CB4408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Pr="00FF5B72" w:rsidRDefault="00CB4408" w:rsidP="00CB4408">
            <w:r w:rsidRPr="00FF5B72">
              <w:t>Project</w:t>
            </w:r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Pr="00FF5B72" w:rsidRDefault="00CB4408" w:rsidP="00CB4408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4408" w:rsidRPr="002522F3" w:rsidTr="00BB7C4F">
        <w:trPr>
          <w:trHeight w:val="289"/>
        </w:trPr>
        <w:tc>
          <w:tcPr>
            <w:tcW w:w="1773" w:type="dxa"/>
          </w:tcPr>
          <w:p w:rsidR="00CB4408" w:rsidRPr="00FF5B72" w:rsidRDefault="00CB4408" w:rsidP="00CB4408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Default="00CB4408" w:rsidP="00CB4408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70</w:t>
            </w:r>
          </w:p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Pr="002522F3" w:rsidRDefault="00CB4408" w:rsidP="00CB4408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B4408" w:rsidRPr="002522F3" w:rsidRDefault="00CB4408" w:rsidP="00CB4408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B4408" w:rsidRDefault="00CB4408" w:rsidP="00CB4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136</w:t>
            </w:r>
          </w:p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Pr="002522F3" w:rsidRDefault="00CB4408" w:rsidP="00CB4408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B4408" w:rsidRPr="002522F3" w:rsidRDefault="00CB4408" w:rsidP="00CB4408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B4408" w:rsidRDefault="00CB4408" w:rsidP="00CB4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5.44</w:t>
            </w:r>
          </w:p>
        </w:tc>
      </w:tr>
      <w:tr w:rsidR="00CB4408" w:rsidRPr="002522F3" w:rsidTr="00BB7C4F">
        <w:trPr>
          <w:trHeight w:val="301"/>
        </w:trPr>
        <w:tc>
          <w:tcPr>
            <w:tcW w:w="1773" w:type="dxa"/>
          </w:tcPr>
          <w:p w:rsidR="00CB4408" w:rsidRPr="002522F3" w:rsidRDefault="00CB4408" w:rsidP="00CB4408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B4408" w:rsidRPr="002522F3" w:rsidRDefault="00CB4408" w:rsidP="00CB4408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B4408" w:rsidRDefault="00CB4408" w:rsidP="00CB4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CB4408" w:rsidRPr="004B6220" w:rsidRDefault="00CB4408" w:rsidP="00CB440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  <w:r w:rsidR="00CB4408">
        <w:rPr>
          <w:rFonts w:ascii="Times New Roman" w:eastAsia="Arial Unicode MS" w:hAnsi="Times New Roman" w:cs="Times New Roman"/>
          <w:color w:val="000000"/>
          <w:bdr w:val="nil"/>
          <w:lang w:val="en-US"/>
        </w:rPr>
        <w:t>, Role-play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="00CB440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Clinical Psychologist </w:t>
      </w:r>
      <w:proofErr w:type="spellStart"/>
      <w:r w:rsidR="00CB4408">
        <w:rPr>
          <w:rFonts w:ascii="Times New Roman" w:eastAsia="Arial Unicode MS" w:hAnsi="Times New Roman" w:cs="Times New Roman"/>
          <w:color w:val="000000"/>
          <w:bdr w:val="nil"/>
          <w:lang w:val="en-US"/>
        </w:rPr>
        <w:t>Merve</w:t>
      </w:r>
      <w:proofErr w:type="spellEnd"/>
      <w:r w:rsidR="00CB440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CB4408">
        <w:rPr>
          <w:rFonts w:ascii="Times New Roman" w:eastAsia="Arial Unicode MS" w:hAnsi="Times New Roman" w:cs="Times New Roman"/>
          <w:color w:val="000000"/>
          <w:bdr w:val="nil"/>
          <w:lang w:val="en-US"/>
        </w:rPr>
        <w:t>Özgür</w:t>
      </w:r>
      <w:proofErr w:type="spellEnd"/>
      <w:r w:rsidR="00CB440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CB4408">
        <w:rPr>
          <w:rFonts w:ascii="Times New Roman" w:eastAsia="Arial Unicode MS" w:hAnsi="Times New Roman" w:cs="Times New Roman"/>
          <w:color w:val="000000"/>
          <w:bdr w:val="nil"/>
          <w:lang w:val="en-US"/>
        </w:rPr>
        <w:t>Sönmez</w:t>
      </w:r>
      <w:proofErr w:type="spellEnd"/>
      <w:r w:rsidR="001261F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</w:t>
      </w:r>
      <w:r w:rsidR="004D7B8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</w:t>
      </w:r>
      <w:r w:rsidR="00063E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11CCE"/>
    <w:rsid w:val="00063E3A"/>
    <w:rsid w:val="000D29C2"/>
    <w:rsid w:val="001261FD"/>
    <w:rsid w:val="001B4375"/>
    <w:rsid w:val="001B561A"/>
    <w:rsid w:val="002522F3"/>
    <w:rsid w:val="00281C00"/>
    <w:rsid w:val="002A42DE"/>
    <w:rsid w:val="002D281F"/>
    <w:rsid w:val="003B34FB"/>
    <w:rsid w:val="00481F07"/>
    <w:rsid w:val="004B298C"/>
    <w:rsid w:val="004D7B8A"/>
    <w:rsid w:val="004F0F3D"/>
    <w:rsid w:val="00505ADC"/>
    <w:rsid w:val="00506401"/>
    <w:rsid w:val="0050706C"/>
    <w:rsid w:val="00517EF3"/>
    <w:rsid w:val="005D5BF2"/>
    <w:rsid w:val="006622FA"/>
    <w:rsid w:val="006D7A50"/>
    <w:rsid w:val="00743563"/>
    <w:rsid w:val="007845FC"/>
    <w:rsid w:val="007B7B87"/>
    <w:rsid w:val="008B6DE8"/>
    <w:rsid w:val="00916191"/>
    <w:rsid w:val="00933255"/>
    <w:rsid w:val="00937372"/>
    <w:rsid w:val="009D2556"/>
    <w:rsid w:val="00A11F21"/>
    <w:rsid w:val="00A4070E"/>
    <w:rsid w:val="00AE38A4"/>
    <w:rsid w:val="00B078A4"/>
    <w:rsid w:val="00BB7C4F"/>
    <w:rsid w:val="00C0041F"/>
    <w:rsid w:val="00C16773"/>
    <w:rsid w:val="00C477E3"/>
    <w:rsid w:val="00C71B41"/>
    <w:rsid w:val="00CB4408"/>
    <w:rsid w:val="00CB6C93"/>
    <w:rsid w:val="00CF4A7B"/>
    <w:rsid w:val="00D02693"/>
    <w:rsid w:val="00D06D88"/>
    <w:rsid w:val="00D3422B"/>
    <w:rsid w:val="00DE224D"/>
    <w:rsid w:val="00D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4D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table" w:customStyle="1" w:styleId="TableNormal">
    <w:name w:val="Table Normal"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qFormat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2021-04-21T16:39:00Z</dcterms:created>
  <dcterms:modified xsi:type="dcterms:W3CDTF">2021-04-26T09:52:00Z</dcterms:modified>
</cp:coreProperties>
</file>